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D17" w:rsidRDefault="00657D17" w:rsidP="00657D17">
      <w:pPr>
        <w:spacing w:before="100" w:beforeAutospacing="1" w:after="100" w:afterAutospacing="1" w:line="432" w:lineRule="atLeast"/>
        <w:jc w:val="center"/>
        <w:outlineLvl w:val="2"/>
        <w:rPr>
          <w:rFonts w:ascii="Verdana" w:hAnsi="Verdana"/>
          <w:b/>
          <w:bCs/>
          <w:color w:val="00255C"/>
          <w:sz w:val="23"/>
          <w:szCs w:val="23"/>
        </w:rPr>
      </w:pPr>
      <w:r>
        <w:rPr>
          <w:rFonts w:ascii="Verdana" w:hAnsi="Verdana"/>
          <w:b/>
          <w:bCs/>
          <w:color w:val="00255C"/>
          <w:sz w:val="23"/>
          <w:szCs w:val="23"/>
        </w:rPr>
        <w:t>Tribunal Supremo, Sala Cuarta, de lo Socia</w:t>
      </w:r>
      <w:bookmarkStart w:id="0" w:name="_GoBack"/>
      <w:bookmarkEnd w:id="0"/>
      <w:r>
        <w:rPr>
          <w:rFonts w:ascii="Verdana" w:hAnsi="Verdana"/>
          <w:b/>
          <w:bCs/>
          <w:color w:val="00255C"/>
          <w:sz w:val="23"/>
          <w:szCs w:val="23"/>
        </w:rPr>
        <w:t xml:space="preserve">l, Auto de 18 Ene. 2011, </w:t>
      </w:r>
      <w:proofErr w:type="spellStart"/>
      <w:r>
        <w:rPr>
          <w:rFonts w:ascii="Verdana" w:hAnsi="Verdana"/>
          <w:b/>
          <w:bCs/>
          <w:color w:val="00255C"/>
          <w:sz w:val="23"/>
          <w:szCs w:val="23"/>
        </w:rPr>
        <w:t>rec.</w:t>
      </w:r>
      <w:proofErr w:type="spellEnd"/>
      <w:r>
        <w:rPr>
          <w:rFonts w:ascii="Verdana" w:hAnsi="Verdana"/>
          <w:b/>
          <w:bCs/>
          <w:color w:val="00255C"/>
          <w:sz w:val="23"/>
          <w:szCs w:val="23"/>
        </w:rPr>
        <w:t xml:space="preserve"> 1227/2010</w:t>
      </w:r>
    </w:p>
    <w:p w:rsidR="00657D17" w:rsidRDefault="00657D17" w:rsidP="00657D17">
      <w:pPr>
        <w:pStyle w:val="jpte1"/>
        <w:spacing w:line="432" w:lineRule="atLeast"/>
        <w:rPr>
          <w:rFonts w:ascii="Verdana" w:hAnsi="Verdana"/>
          <w:b/>
          <w:bCs/>
          <w:sz w:val="19"/>
          <w:szCs w:val="19"/>
        </w:rPr>
      </w:pPr>
      <w:r>
        <w:rPr>
          <w:rFonts w:ascii="Verdana" w:hAnsi="Verdana"/>
          <w:b/>
          <w:bCs/>
          <w:sz w:val="19"/>
          <w:szCs w:val="19"/>
        </w:rPr>
        <w:t xml:space="preserve">Ponente: Calvo </w:t>
      </w:r>
      <w:proofErr w:type="spellStart"/>
      <w:r>
        <w:rPr>
          <w:rFonts w:ascii="Verdana" w:hAnsi="Verdana"/>
          <w:b/>
          <w:bCs/>
          <w:sz w:val="19"/>
          <w:szCs w:val="19"/>
        </w:rPr>
        <w:t>Ibarlucea</w:t>
      </w:r>
      <w:proofErr w:type="spellEnd"/>
      <w:r>
        <w:rPr>
          <w:rFonts w:ascii="Verdana" w:hAnsi="Verdana"/>
          <w:b/>
          <w:bCs/>
          <w:sz w:val="19"/>
          <w:szCs w:val="19"/>
        </w:rPr>
        <w:t>, Milagros.</w:t>
      </w:r>
    </w:p>
    <w:p w:rsidR="00657D17" w:rsidRDefault="00657D17" w:rsidP="00657D17">
      <w:pPr>
        <w:spacing w:before="100" w:beforeAutospacing="1" w:after="100" w:afterAutospacing="1" w:line="432" w:lineRule="atLeast"/>
        <w:rPr>
          <w:rFonts w:ascii="Verdana" w:eastAsiaTheme="minorEastAsia" w:hAnsi="Verdana"/>
          <w:b/>
          <w:bCs/>
          <w:color w:val="00255C"/>
          <w:sz w:val="19"/>
          <w:szCs w:val="19"/>
        </w:rPr>
      </w:pPr>
      <w:r>
        <w:rPr>
          <w:rFonts w:ascii="Verdana" w:eastAsiaTheme="minorEastAsia" w:hAnsi="Verdana"/>
          <w:b/>
          <w:bCs/>
          <w:color w:val="00255C"/>
          <w:sz w:val="19"/>
          <w:szCs w:val="19"/>
        </w:rPr>
        <w:t>Nº de Recurso: 1227/2010</w:t>
      </w:r>
    </w:p>
    <w:p w:rsidR="00657D17" w:rsidRDefault="00657D17" w:rsidP="00657D17">
      <w:pPr>
        <w:spacing w:before="100" w:beforeAutospacing="1" w:after="100" w:afterAutospacing="1" w:line="432" w:lineRule="atLeast"/>
        <w:rPr>
          <w:rFonts w:ascii="Verdana" w:eastAsiaTheme="minorEastAsia" w:hAnsi="Verdana"/>
          <w:b/>
          <w:bCs/>
          <w:color w:val="00255C"/>
          <w:sz w:val="19"/>
          <w:szCs w:val="19"/>
        </w:rPr>
      </w:pPr>
      <w:r>
        <w:rPr>
          <w:rFonts w:ascii="Verdana" w:eastAsiaTheme="minorEastAsia" w:hAnsi="Verdana"/>
          <w:b/>
          <w:bCs/>
          <w:color w:val="00255C"/>
          <w:sz w:val="19"/>
          <w:szCs w:val="19"/>
        </w:rPr>
        <w:t>Jurisdicción: SOCIAL</w:t>
      </w:r>
    </w:p>
    <w:p w:rsidR="00657D17" w:rsidRDefault="00657D17" w:rsidP="00657D17">
      <w:pPr>
        <w:pStyle w:val="NormalWeb"/>
        <w:spacing w:line="432" w:lineRule="atLeast"/>
        <w:rPr>
          <w:rFonts w:ascii="Verdana" w:hAnsi="Verdana"/>
          <w:b/>
          <w:bCs/>
          <w:color w:val="00255C"/>
          <w:sz w:val="19"/>
          <w:szCs w:val="19"/>
        </w:rPr>
      </w:pPr>
      <w:r>
        <w:rPr>
          <w:rFonts w:ascii="Verdana" w:hAnsi="Verdana"/>
          <w:b/>
          <w:bCs/>
          <w:color w:val="00255C"/>
          <w:sz w:val="19"/>
          <w:szCs w:val="19"/>
        </w:rPr>
        <w:t>LA LEY 2674/2011</w:t>
      </w:r>
    </w:p>
    <w:p w:rsidR="00657D17" w:rsidRDefault="00657D17" w:rsidP="00657D17">
      <w:pPr>
        <w:pStyle w:val="cn3"/>
        <w:spacing w:line="384" w:lineRule="atLeast"/>
        <w:rPr>
          <w:rFonts w:ascii="Verdana" w:hAnsi="Verdana"/>
          <w:sz w:val="20"/>
          <w:szCs w:val="20"/>
        </w:rPr>
      </w:pPr>
      <w:r>
        <w:rPr>
          <w:rFonts w:ascii="Verdana" w:hAnsi="Verdana"/>
          <w:sz w:val="20"/>
          <w:szCs w:val="20"/>
        </w:rPr>
        <w:t>Texto</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 xml:space="preserve">En la Villa de Madrid, a dieciocho de Enero de dos mil once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Style w:val="su1"/>
          <w:rFonts w:ascii="Verdana" w:eastAsiaTheme="minorEastAsia" w:hAnsi="Verdana"/>
          <w:b/>
          <w:bCs/>
          <w:color w:val="00255C"/>
          <w:sz w:val="20"/>
          <w:szCs w:val="20"/>
        </w:rPr>
        <w:t>AUTO</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 xml:space="preserve">Es Magistrada Ponente la Excma. Sra. Dª. Maria Milagros Calvo </w:t>
      </w:r>
      <w:proofErr w:type="spellStart"/>
      <w:r>
        <w:rPr>
          <w:rFonts w:ascii="Verdana" w:eastAsiaTheme="minorEastAsia" w:hAnsi="Verdana"/>
          <w:color w:val="000000"/>
          <w:sz w:val="20"/>
          <w:szCs w:val="20"/>
        </w:rPr>
        <w:t>Ibarlucea</w:t>
      </w:r>
      <w:proofErr w:type="spellEnd"/>
    </w:p>
    <w:p w:rsidR="00657D17" w:rsidRDefault="00657D17" w:rsidP="00657D17">
      <w:pPr>
        <w:spacing w:before="360" w:after="100" w:afterAutospacing="1" w:line="384" w:lineRule="atLeast"/>
        <w:jc w:val="center"/>
        <w:outlineLvl w:val="3"/>
        <w:rPr>
          <w:rFonts w:ascii="Verdana" w:hAnsi="Verdana"/>
          <w:b/>
          <w:bCs/>
          <w:color w:val="00255C"/>
          <w:sz w:val="22"/>
          <w:szCs w:val="22"/>
        </w:rPr>
      </w:pPr>
      <w:r>
        <w:rPr>
          <w:rFonts w:ascii="Verdana" w:hAnsi="Verdana"/>
          <w:b/>
          <w:bCs/>
          <w:color w:val="00255C"/>
          <w:sz w:val="22"/>
          <w:szCs w:val="22"/>
        </w:rPr>
        <w:t>HECHOS</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b/>
          <w:bCs/>
          <w:color w:val="00255C"/>
          <w:sz w:val="20"/>
          <w:szCs w:val="20"/>
        </w:rPr>
        <w:t xml:space="preserve">PRIMERO.- </w:t>
      </w:r>
      <w:r>
        <w:rPr>
          <w:rFonts w:ascii="Verdana" w:eastAsiaTheme="minorEastAsia" w:hAnsi="Verdana"/>
          <w:color w:val="000000"/>
          <w:sz w:val="20"/>
          <w:szCs w:val="20"/>
        </w:rPr>
        <w:t xml:space="preserve">Por el Juzgado de lo Social Nº 1 de los de Gerona se dictó sentencia en fecha 31 de julio de 2.008, en el procedimiento nº 347/08 seguido a instancia de GESTIÓ D'INFRAESTRUCTURES S.A. contra INSTITUTO NACIONAL DE LA SEGURIDAD SOCIAL, TESORERÍA GENERAL DE LA SEGURIDAD SOCIAL y DON Isidoro, sobre accidente de trabajo, que desestimaba la pretensión formulada.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b/>
          <w:bCs/>
          <w:color w:val="00255C"/>
          <w:sz w:val="20"/>
          <w:szCs w:val="20"/>
        </w:rPr>
        <w:t xml:space="preserve">SEGUNDO.- </w:t>
      </w:r>
      <w:r>
        <w:rPr>
          <w:rFonts w:ascii="Verdana" w:eastAsiaTheme="minorEastAsia" w:hAnsi="Verdana"/>
          <w:color w:val="000000"/>
          <w:sz w:val="20"/>
          <w:szCs w:val="20"/>
        </w:rPr>
        <w:t xml:space="preserve">Dicha resolución fue recurrida en suplicación por GESTIÓ D'INFRAESTRUCTURES S.A., siendo dictada sentencia por la Sala de lo Social del Tribunal Superior de Justicia de Cataluña, en fecha 8 de febrero de 2.010, que desestimaba el recurso interpuesto y, en consecuencia, confirmaba la sentencia impugnada.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b/>
          <w:bCs/>
          <w:color w:val="00255C"/>
          <w:sz w:val="20"/>
          <w:szCs w:val="20"/>
        </w:rPr>
        <w:t xml:space="preserve">TERCERO.- </w:t>
      </w:r>
      <w:r>
        <w:rPr>
          <w:rFonts w:ascii="Verdana" w:eastAsiaTheme="minorEastAsia" w:hAnsi="Verdana"/>
          <w:color w:val="000000"/>
          <w:sz w:val="20"/>
          <w:szCs w:val="20"/>
        </w:rPr>
        <w:t xml:space="preserve">Por escrito de fecha 14 de abril de 2.010 se formalizó por el Letrado Don José Antonio Fernández Bustillo, en nombre y representación de EMPRESA GESTIÓ D'INFRAESTRUCTURES, S.A., recurso de casación para la unificación de doctrina contra la sentencia de la Sala de lo Social antes citada.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b/>
          <w:bCs/>
          <w:color w:val="00255C"/>
          <w:sz w:val="20"/>
          <w:szCs w:val="20"/>
        </w:rPr>
        <w:t xml:space="preserve">CUARTO.- </w:t>
      </w:r>
      <w:r>
        <w:rPr>
          <w:rFonts w:ascii="Verdana" w:eastAsiaTheme="minorEastAsia" w:hAnsi="Verdana"/>
          <w:color w:val="000000"/>
          <w:sz w:val="20"/>
          <w:szCs w:val="20"/>
        </w:rPr>
        <w:t xml:space="preserve">Esta Sala, por providencia de fecha 18 de octubre de 2.010 acordó abrir el trámite de inadmisión, por falta de una relación precisa y circunstanciada de la contradicción y falta de </w:t>
      </w:r>
      <w:r>
        <w:rPr>
          <w:rFonts w:ascii="Verdana" w:eastAsiaTheme="minorEastAsia" w:hAnsi="Verdana"/>
          <w:color w:val="000000"/>
          <w:sz w:val="20"/>
          <w:szCs w:val="20"/>
        </w:rPr>
        <w:lastRenderedPageBreak/>
        <w:t xml:space="preserve">contradicción. A tal fin se requirió a la parte recurrente para que en el plazo de tres días hiciera alegaciones, lo que efectuó. El Ministerio Fiscal emitió el preceptivo informe en el sentido de estimar procedente la inadmisión del recurso. </w:t>
      </w:r>
    </w:p>
    <w:p w:rsidR="00657D17" w:rsidRDefault="00657D17" w:rsidP="00657D17">
      <w:pPr>
        <w:spacing w:before="360" w:after="100" w:afterAutospacing="1" w:line="384" w:lineRule="atLeast"/>
        <w:jc w:val="center"/>
        <w:outlineLvl w:val="3"/>
        <w:rPr>
          <w:rFonts w:ascii="Verdana" w:hAnsi="Verdana"/>
          <w:b/>
          <w:bCs/>
          <w:color w:val="00255C"/>
          <w:sz w:val="22"/>
          <w:szCs w:val="22"/>
        </w:rPr>
      </w:pPr>
      <w:r>
        <w:rPr>
          <w:rFonts w:ascii="Verdana" w:hAnsi="Verdana"/>
          <w:b/>
          <w:bCs/>
          <w:color w:val="00255C"/>
          <w:sz w:val="22"/>
          <w:szCs w:val="22"/>
        </w:rPr>
        <w:t>RAZONAMIENTOS JURÍDICOS</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b/>
          <w:bCs/>
          <w:color w:val="00255C"/>
          <w:sz w:val="20"/>
          <w:szCs w:val="20"/>
        </w:rPr>
        <w:t xml:space="preserve">PRIMERO.- </w:t>
      </w:r>
      <w:r>
        <w:rPr>
          <w:rFonts w:ascii="Verdana" w:eastAsiaTheme="minorEastAsia" w:hAnsi="Verdana"/>
          <w:color w:val="000000"/>
          <w:sz w:val="20"/>
          <w:szCs w:val="20"/>
        </w:rPr>
        <w:t xml:space="preserve">Consta en la sentencia recurrida del Tribunal Superior de Justicia de Cataluña de 8 de febrero de 2010 (Rec. 8146/2008), que por resolución del INSS de 13-11-2007, se declara la existencia de responsabilidad y se impone un recargo de prestaciones por falta de medidas de seguridad a la empresa GESTIÓN DE INFRAESTRUCTURAS, S.A., por el accidente sufrido por un trabajador que prestaba servicios para la empresa PROTECCIONES COLECTIVAS, S.L., acontecido cuando procediendo a realizar las tareas de montaje de la barandilla perimetral de la zona de </w:t>
      </w:r>
      <w:proofErr w:type="spellStart"/>
      <w:r>
        <w:rPr>
          <w:rFonts w:ascii="Verdana" w:eastAsiaTheme="minorEastAsia" w:hAnsi="Verdana"/>
          <w:color w:val="000000"/>
          <w:sz w:val="20"/>
          <w:szCs w:val="20"/>
        </w:rPr>
        <w:t>enconfrado</w:t>
      </w:r>
      <w:proofErr w:type="spellEnd"/>
      <w:r>
        <w:rPr>
          <w:rFonts w:ascii="Verdana" w:eastAsiaTheme="minorEastAsia" w:hAnsi="Verdana"/>
          <w:color w:val="000000"/>
          <w:sz w:val="20"/>
          <w:szCs w:val="20"/>
        </w:rPr>
        <w:t xml:space="preserve">, en uno de los desplazamientos, cedió uno de los tablones por cuanto se estaban realizando tareas de desencofrado por otra empresa, sin que se hubiera advertido al trabajador de dicha circunstancia, lo que hizo que se precipitara desde una altura de 7 metros, topando en la caída con el entramado de varillas de la planta 1, y cayendo sobre las de la planta 0 (según consta en informe de la Inspección de Trabajo y de la mutua MIDAT CYCLOPS). Consta probado que la empresa GESTIÓN DE INFRAESTRUCTURAS, S.A., era promotora de la obra en que tuvo lugar el accidente, siendo participada al 100% por la Generalitat de Cataluña, actuando como empresa contratista FCC CONSTRUCCIÓN S.A., que celebró una subcontrata con BUNKER NUEVE GENERACIÓN S.L. y PROTECCIONES COLECTIVAS S.L. Consta igualmente probado que la empresa PROTECCIONES COLECTIVAS S.L., se había adherido al plan de seguridad y salud de FCC CONSTRUCCIÓN S.A., que no aporta documento alguno que acredite que en la fecha del accidente o en fecha anterior, se hubiesen establecido medidas de coordinación que se pusieran en conocimiento de los trabajadores de la empresa PROTECCIONES COLECTIVAS S.L., en particular, en relación con el inicio de los trabajos de desencofrado de la segunda planta por parte de los trabajadores de la empresa BUNKER NUEVA GENERACION S.L. El trabajador recibió formación en materia de riesgos laborales y fueron entregados los equipos de protección individual necesarios, existiendo un coordinador de seguridad y salud designado por la empresa GESTIÓN DE INFRAESTRUCTURAS, S.A., que no asistía a las reuniones de la comisión de seguridad y coordinación que mensualmente se convocaban por FCC.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 xml:space="preserve">En instancia se confirma la resolución administrativa que declaró la existencia de falta de medidas de seguridad e impuso un recargo de prestaciones del 40% a la empresa GESTIÓN DE INFRAESTRUCTURAS S.A., recurriendo en suplicación la misma por entender que la responsabilidad del </w:t>
      </w:r>
      <w:r>
        <w:rPr>
          <w:rFonts w:ascii="Verdana" w:eastAsiaTheme="minorEastAsia" w:hAnsi="Verdana"/>
          <w:color w:val="000000"/>
          <w:sz w:val="20"/>
          <w:szCs w:val="20"/>
        </w:rPr>
        <w:lastRenderedPageBreak/>
        <w:t xml:space="preserve">recargo de prestaciones tiene que recaer sobre la empresa en la que presta servicios el trabajador y no sobre ninguna otra empresa, por lo que la resolución del INSS y la sentencia, incurren en un defecto de incongruencia </w:t>
      </w:r>
      <w:proofErr w:type="spellStart"/>
      <w:r>
        <w:rPr>
          <w:rFonts w:ascii="Verdana" w:eastAsiaTheme="minorEastAsia" w:hAnsi="Verdana"/>
          <w:color w:val="000000"/>
          <w:sz w:val="20"/>
          <w:szCs w:val="20"/>
        </w:rPr>
        <w:t>omisiva</w:t>
      </w:r>
      <w:proofErr w:type="spellEnd"/>
      <w:r>
        <w:rPr>
          <w:rFonts w:ascii="Verdana" w:eastAsiaTheme="minorEastAsia" w:hAnsi="Verdana"/>
          <w:color w:val="000000"/>
          <w:sz w:val="20"/>
          <w:szCs w:val="20"/>
        </w:rPr>
        <w:t>, ya que otras empresas, contratistas y subcontratistas, pudieron tener también responsabilidad en el accidente, debiendo declararse la nulidad de la sentencia en cuanto a la responsabilidad de terceros, que ha de ser solidaria. La Sala de suplicación confirma la sentencia de instancia por entender que las cuestiones planteadas son una "alegación nueva no planteada en la instancia, en la que no se discutió, tampoco se solicitó, la posible condena de las otras empresas intervinientes en la imposición del recargo", ya que lo que se planteó en la demanda era la exoneración de responsabilidad de la empresa sin especificar si la misma debía ser única o compartida. Añade la Sala que si bien la empresa recurrente no ha sido empresario del trabajador, la responsabilidad del promotor de la obra no se limita a encargar el estudio de seguridad y salud laboral, sino a comprobar y supervisar la correcta y efectiva aplicación de los mismos, lo que no ha ocurrido en el presente supuesto en el que no se han adoptado las adecuadas medidas de coordinación en las tareas de prevención de riesgos laborales que eran responsabilidad de la empresa promotora.</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 xml:space="preserve">Contra dicha sentencia recurre en casación para la unificación de doctrina la empresa condenada, interesando, nuevamente, que se declare que no existe responsabilidad de la empresa en el accidente, por lo que no debe imponerse a ella el recargo, ya que ella no es la única responsable, seleccionando de contraste la sentencia del Tribunal Superior de Justicia de Cataluña de 10 de marzo de 1994 </w:t>
      </w:r>
      <w:proofErr w:type="spellStart"/>
      <w:r>
        <w:rPr>
          <w:rFonts w:ascii="Verdana" w:eastAsiaTheme="minorEastAsia" w:hAnsi="Verdana"/>
          <w:color w:val="000000"/>
          <w:sz w:val="20"/>
          <w:szCs w:val="20"/>
        </w:rPr>
        <w:t>Rec</w:t>
      </w:r>
      <w:proofErr w:type="spellEnd"/>
      <w:r>
        <w:rPr>
          <w:rFonts w:ascii="Verdana" w:eastAsiaTheme="minorEastAsia" w:hAnsi="Verdana"/>
          <w:color w:val="000000"/>
          <w:sz w:val="20"/>
          <w:szCs w:val="20"/>
        </w:rPr>
        <w:t xml:space="preserve"> 4250/1993), respecto de la que no establece la necesaria comparación entre hechos, fundamentos y pretensiones que exige el art. 222 de la Ley de Procedimiento Laboral, limitándose a resumir la sentencia recurrida y transcribir el fundamento jurídico de la sentencia de contraste que interesa a su pretensión.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 xml:space="preserve">El artículo 222 de la Ley de Procedimiento Laboral exige que el escrito de interposición del recurso de casación para la unificación de doctrina contenga una relación precisa y circunstanciada de la contradicción alegada, lo que supone necesariamente una comparación de los hechos de las sentencias, el objeto de las pretensiones y de los fundamentos de éstas, a través de un examen comparativo que, aunque no sea detallado, resulte suficiente para ofrecer a la parte recurrida y a la propia Sala los términos en que la parte recurrente sitúa la oposición de los pronunciamientos [sentencias de 3 de noviembre de 2008 (LA LEY 189565/2008) (R. 2791/07), 25 de noviembre de 2008 (LA LEY 319545/2008) (R. 5057/06), 10 de diciembre de 2008 (R. 1537/07), 11 de diciembre de 2008 (LA LEY 226109/2008) (R. 2379/07), 15 de diciembre de 2008 (LA LEY 274989/2008) (R. 178/08), 19 de </w:t>
      </w:r>
      <w:r>
        <w:rPr>
          <w:rFonts w:ascii="Verdana" w:eastAsiaTheme="minorEastAsia" w:hAnsi="Verdana"/>
          <w:color w:val="000000"/>
          <w:sz w:val="20"/>
          <w:szCs w:val="20"/>
        </w:rPr>
        <w:lastRenderedPageBreak/>
        <w:t xml:space="preserve">diciembre 2008 (LA LEY 235327/2008) (R. 881/08), 19 de diciembre de 2008 (LA LEY 235327/2008) (R. 881/08), 30 de diciembre de 2008 (LA LEY 226093/2008) (R. 3291/07), 3 de marzo de 2009 (LA LEY 8900/2009) (R. 4510/07), 4 de marzo de 2009 (LA LEY 8893/2009) (R. 1535/07), y 9 de marzo de 2009 (LA LEY 14727/2009) (R. 2123/07)].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 xml:space="preserve">Esta exigencia es presupuesto indispensable para la viabilidad del recurso, pues su incumplimiento constituye causa de inadmisión según el art. 483.2.2 LEC o, en su caso -tras señalamiento, votación y fallo-, de desestimación (sentencia de 3 de marzo de 2009 (LA LEY 8900/2009), R. 4510/2007).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b/>
          <w:bCs/>
          <w:color w:val="00255C"/>
          <w:sz w:val="20"/>
          <w:szCs w:val="20"/>
        </w:rPr>
        <w:t xml:space="preserve">SEGUNDO.- </w:t>
      </w:r>
      <w:r>
        <w:rPr>
          <w:rFonts w:ascii="Verdana" w:eastAsiaTheme="minorEastAsia" w:hAnsi="Verdana"/>
          <w:color w:val="000000"/>
          <w:sz w:val="20"/>
          <w:szCs w:val="20"/>
        </w:rPr>
        <w:t xml:space="preserve">A mayor abundamiento, el artículo 217 de la Ley de Procedimiento Laboral exige para la viabilidad del recurso de casación para la unificación de doctrina que exista contradicción entre la sentencia impugnada y otra resolución judicial que ha de ser una sentencia de una Sala de lo Social de un Tribunal Superior de Justicia o de la Sala IV del Tribunal Supremo. Dicha contradicción requiere que las resoluciones que se comparan contengan pronunciamientos distintos sobre el mismo objeto, es decir, que se produzca una diversidad de respuestas judiciales ante controversias esencialmente iguales y, aunque no se exige una identidad absoluta, sí es preciso, como señala el precepto citado, que respecto a los mismos litigantes u otros en la misma situación, se haya llegado a esa diversidad de las decisiones pese a tratarse de "hechos, fundamentos y pretensiones sustancialmente iguales" (sentencias, entre otras, de 7 de abril y 4 de mayo de 2005 </w:t>
      </w:r>
      <w:r>
        <w:rPr>
          <w:rFonts w:ascii="Verdana" w:eastAsiaTheme="minorEastAsia" w:hAnsi="Verdana"/>
          <w:i/>
          <w:iCs/>
          <w:color w:val="000000"/>
          <w:sz w:val="20"/>
          <w:szCs w:val="20"/>
        </w:rPr>
        <w:t>,</w:t>
      </w:r>
      <w:r>
        <w:rPr>
          <w:rFonts w:ascii="Verdana" w:eastAsiaTheme="minorEastAsia" w:hAnsi="Verdana"/>
          <w:color w:val="000000"/>
          <w:sz w:val="20"/>
          <w:szCs w:val="20"/>
        </w:rPr>
        <w:t xml:space="preserve"> R. 430/2004 y 2082/2004; 25 de julio de 2007 (LA LEY 162134/2007), R. 2704/2006; 4 (LA LEY 180225/2007) y 10 de octubre de 2007 (LA LEY 170510/2007), R. 586/2006 y 312/2007, 16 de noviembre de 2007 (LA LEY 199931/2007), R. 4993/2006; 8 de febrero (LA LEY 39177/2008) y 10 de junio de 2008 (LA LEY 86598/2008), R. 2703/2006 y 2506/2007).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 xml:space="preserve">Por otra parte, la contradicción no surge de una comparación abstracta de doctrinas al margen de la identidad de las controversias, sino de una oposición de pronunciamientos concretos recaídos en conflictos sustancialmente iguales (sentencias de 28 de mayo de 2008 (LA LEY 123393/2008), R. 814/2007; 3 de junio de 2008 (LA LEY 86553/2008), R. 595/2007 y 2532/2006; 18-7-08 (LA LEY 132524/2008), R. 437/2007; 15 y 22 de septiembre de 2008 (LA LEY 158429/2008), R. 1126/2007 y 2613/2007; 2 de octubre de 2008, R. 483/2007 y 4351/2007; 20 de octubre de 2008 (LA LEY 176271/2008), R. 672/2007; 3 de noviembre de 2008 (LA LEY 189548/2008), R. 2637/2007 y 3883/07; 12 de noviembre de 2008 (LA LEY 257266/2008), R. 2470/2007; y 18 (LA LEY 7011/2009) y 19 de febrero de 2009 (LA LEY 7013/2009), R. 3014/2007 y 1138/2008). Contradicción que no puede apreciarse en el presente supuesto.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lastRenderedPageBreak/>
        <w:t xml:space="preserve">Consta en la sentencia de contraste, del Tribunal Superior de Justicia de Cataluña de 10 de marzo de 1994 </w:t>
      </w:r>
      <w:proofErr w:type="spellStart"/>
      <w:r>
        <w:rPr>
          <w:rFonts w:ascii="Verdana" w:eastAsiaTheme="minorEastAsia" w:hAnsi="Verdana"/>
          <w:color w:val="000000"/>
          <w:sz w:val="20"/>
          <w:szCs w:val="20"/>
        </w:rPr>
        <w:t>Rec</w:t>
      </w:r>
      <w:proofErr w:type="spellEnd"/>
      <w:r>
        <w:rPr>
          <w:rFonts w:ascii="Verdana" w:eastAsiaTheme="minorEastAsia" w:hAnsi="Verdana"/>
          <w:color w:val="000000"/>
          <w:sz w:val="20"/>
          <w:szCs w:val="20"/>
        </w:rPr>
        <w:t xml:space="preserve"> 4250/1993), que el trabajador, estando en la empresa COMPAÑÍA ESPAÑOLA DE LAMINACIÓN S.A. (CELSA), acudió sobre las 11.30 horas a los lavabos ubicados en la nave de laminación, siendo encontrado sobre las 13.30 horas en el interior de un lavabo en estado de coma profundo, falleciendo posteriormente por "parada </w:t>
      </w:r>
      <w:proofErr w:type="spellStart"/>
      <w:r>
        <w:rPr>
          <w:rFonts w:ascii="Verdana" w:eastAsiaTheme="minorEastAsia" w:hAnsi="Verdana"/>
          <w:color w:val="000000"/>
          <w:sz w:val="20"/>
          <w:szCs w:val="20"/>
        </w:rPr>
        <w:t>cardiorespiratoria</w:t>
      </w:r>
      <w:proofErr w:type="spellEnd"/>
      <w:r>
        <w:rPr>
          <w:rFonts w:ascii="Verdana" w:eastAsiaTheme="minorEastAsia" w:hAnsi="Verdana"/>
          <w:color w:val="000000"/>
          <w:sz w:val="20"/>
          <w:szCs w:val="20"/>
        </w:rPr>
        <w:t xml:space="preserve"> por intoxicación por gas irritante". En la misma fecha, otro trabajador sufrió síntomas de ahogos en los mismos lavabos, debiendo ser trasladado a una clínica, siendo asistidos hasta 10 trabajadores los días siguientes con síntomas de náuseas, vómitos, conjuntivitis y ansiedad. En el acta de infracción levantada por la Inspección de Trabajo, consta que se produjeron emanaciones de ácido sulfhídrico en los servicios higiénicos de la nave de laminación de la empresa, los cuales se habían formado como consecuencia de la fermentación de aguas fecales acumuladas en las largas canalizaciones fecales y en los pozos intermedios de la conducción de alcantarillado de la empresa. El trabajador fallecido prestaba servicios para la empresa PROYCOMA S.A., que había suscrito contrato de arrendamiento de servicios con la empresa CONSTRUCCIONES CRAG.S.A., para la colaboración de PROYCOMA S.A. en los trabajos que CONSTRUCCIONES CRAG.S.A. </w:t>
      </w:r>
      <w:proofErr w:type="gramStart"/>
      <w:r>
        <w:rPr>
          <w:rFonts w:ascii="Verdana" w:eastAsiaTheme="minorEastAsia" w:hAnsi="Verdana"/>
          <w:color w:val="000000"/>
          <w:sz w:val="20"/>
          <w:szCs w:val="20"/>
        </w:rPr>
        <w:t>estaba</w:t>
      </w:r>
      <w:proofErr w:type="gramEnd"/>
      <w:r>
        <w:rPr>
          <w:rFonts w:ascii="Verdana" w:eastAsiaTheme="minorEastAsia" w:hAnsi="Verdana"/>
          <w:color w:val="000000"/>
          <w:sz w:val="20"/>
          <w:szCs w:val="20"/>
        </w:rPr>
        <w:t xml:space="preserve"> realizando en la empresa CELSA. En instancia se confirma la resolución del INSS por la que se resolvió que no existía responsabilidad empresarial por falta de medidas de seguridad e higiene, sentencia confirmada a su vez en suplicación, por entender la Sala que la aparición del gas fue súbita, sin antecedentes previos, resultando negativas las pruebas efectuadas para su localización y análisis, por lo que no se puede deducir responsabilidad alguna de la empresa para la que el accidentado prestaba servicios.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 xml:space="preserve">Huelga señalar que no cabe apreciar contradicción por cuanto no es comparable la situación de un trabajador que fallece como consecuencia de la inhalación de ácido sulfhídrico que emanaba de los servicios higiénicos y que se había formado como consecuencia de la fermentación de aguas fecales acumuladas en las largas canalizaciones fecales y en los pozos intermedios de la conducción de alcantarillado de la empresa -como consta probado en la sentencia de contraste- que la situación de un trabajador que se precipita desde una altura de 7 metros, topando en la caída con el entramado de varillas de la planta 1 y cayendo sobre las de la planta 0, porque no ha existido coordinación en materia de prevención entre las empresas implicadas, especialmente en relación con las labores de desencofrado que una de las empresas realizaba, y de las que no fueron informados el resto de los trabajadores que estaban trabajando en dicho lugar, derivando en el accidente acontecido -como consta probado en la sentencia recurrida-. Además, en la sentencia recurrida consta que no se aportaron documentos que acreditaran que en la fecha del accidente o en fecha anterior, se hubiesen establecido </w:t>
      </w:r>
      <w:r>
        <w:rPr>
          <w:rFonts w:ascii="Verdana" w:eastAsiaTheme="minorEastAsia" w:hAnsi="Verdana"/>
          <w:color w:val="000000"/>
          <w:sz w:val="20"/>
          <w:szCs w:val="20"/>
        </w:rPr>
        <w:lastRenderedPageBreak/>
        <w:t>medidas de coordinación que se pusieran en conocimiento de los trabajadores, extremo que no consta en la sentencia de contraste.</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b/>
          <w:bCs/>
          <w:color w:val="00255C"/>
          <w:sz w:val="20"/>
          <w:szCs w:val="20"/>
        </w:rPr>
        <w:t xml:space="preserve">TERCERO.- </w:t>
      </w:r>
      <w:r>
        <w:rPr>
          <w:rFonts w:ascii="Verdana" w:eastAsiaTheme="minorEastAsia" w:hAnsi="Verdana"/>
          <w:color w:val="000000"/>
          <w:sz w:val="20"/>
          <w:szCs w:val="20"/>
        </w:rPr>
        <w:t xml:space="preserve">Las precedentes consideraciones no quedan desvirtuadas en modo alguno por lo que la parte esgrime en su escrito de alegaciones de 4 de noviembre de 2010, en el que insiste en la existencia de contradicción, discrepando de lo razonado por esta Sala en su providencia de 18 de octubre de 2010, y en el que considera que basta con exponer el núcleo básico de la contradicción para dar cumplimiento a lo dispuesto en el artículo 222 de la Ley de Procedimiento Laboral, lo que no procede.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b/>
          <w:bCs/>
          <w:color w:val="00255C"/>
          <w:sz w:val="20"/>
          <w:szCs w:val="20"/>
        </w:rPr>
        <w:t xml:space="preserve">CUARTO.- </w:t>
      </w:r>
      <w:r>
        <w:rPr>
          <w:rFonts w:ascii="Verdana" w:eastAsiaTheme="minorEastAsia" w:hAnsi="Verdana"/>
          <w:color w:val="000000"/>
          <w:sz w:val="20"/>
          <w:szCs w:val="20"/>
        </w:rPr>
        <w:t xml:space="preserve">De conformidad con lo establecido en los artículos 217 y 223 de la Ley de Procedimiento Laboral y con lo informado por el Ministerio Fiscal, procede declarar la inadmisión del recurso, con imposición de costas, pérdida del depósito constituido para recurrir, dándose en su caso a las consignaciones y aseguramientos prestados el destino que corresponda.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 xml:space="preserve">Por lo expuesto, en nombre de S. M. El Rey y por la autoridad conferida por el pueblo español. </w:t>
      </w:r>
    </w:p>
    <w:p w:rsidR="00657D17" w:rsidRDefault="00657D17" w:rsidP="00657D17">
      <w:pPr>
        <w:spacing w:before="360" w:after="100" w:afterAutospacing="1" w:line="384" w:lineRule="atLeast"/>
        <w:jc w:val="center"/>
        <w:outlineLvl w:val="3"/>
        <w:rPr>
          <w:rFonts w:ascii="Verdana" w:hAnsi="Verdana"/>
          <w:b/>
          <w:bCs/>
          <w:color w:val="00255C"/>
          <w:sz w:val="22"/>
          <w:szCs w:val="22"/>
        </w:rPr>
      </w:pPr>
      <w:r>
        <w:rPr>
          <w:rFonts w:ascii="Verdana" w:hAnsi="Verdana"/>
          <w:b/>
          <w:bCs/>
          <w:color w:val="00255C"/>
          <w:sz w:val="22"/>
          <w:szCs w:val="22"/>
        </w:rPr>
        <w:t>LA SALA ACUERDA:</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 xml:space="preserve">Declarar la inadmisión del recurso de casación para la unificación de doctrina interpuesto por el Letrado Don José Antonio Fernández Bustillo en nombre y representación de EMPRESA GESTIÓ D'INFRAESTRUCTURES, S.A. contra la sentencia dictada por la Sala de lo Social del Tribunal Superior de Justicia de Cataluña de fecha 8 de febrero de 2.010, en el recurso de suplicación número 347/08, interpuesto por GESTIÒ D'INFRAESTRUCTURES S.A., frente a la sentencia dictada por el Juzgado de lo Social nº 1 de los de Gerona de fecha 31 de julio de 2.008, en el procedimiento nº 347/08 seguido a instancia de GESTIÓ D'INFRAESTRUCTURES S.A. contra INSTITUTO NACIONAL DE LA SEGURIDAD SOCIAL, TESORERÍA GENERAL DE LA SEGURIDAD SOCIAL y DON Isidoro, sobre accidente de trabajo. </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Se declara la firmeza de la sentencia recurrida, con imposición de costas a la parte recurrente, pérdida del depósito constituido para recurrir, dándose en su caso a las consignaciones y aseguramientos prestados el destino que corresponda.</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Contra este auto no cabe recurso alguno.</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t>Devuélvanse los autos de instancia y el rollo de suplicación a la Sala de lo Social del Tribunal Superior de Justicia de procedencia con certificación de esta resolución y comunicación.</w:t>
      </w:r>
    </w:p>
    <w:p w:rsidR="00657D17" w:rsidRDefault="00657D17" w:rsidP="00657D17">
      <w:pPr>
        <w:spacing w:before="120" w:after="120" w:line="384" w:lineRule="atLeast"/>
        <w:ind w:left="120" w:right="120"/>
        <w:jc w:val="both"/>
        <w:rPr>
          <w:rFonts w:ascii="Verdana" w:eastAsiaTheme="minorEastAsia" w:hAnsi="Verdana"/>
          <w:color w:val="000000"/>
          <w:sz w:val="20"/>
          <w:szCs w:val="20"/>
        </w:rPr>
      </w:pPr>
      <w:r>
        <w:rPr>
          <w:rFonts w:ascii="Verdana" w:eastAsiaTheme="minorEastAsia" w:hAnsi="Verdana"/>
          <w:color w:val="000000"/>
          <w:sz w:val="20"/>
          <w:szCs w:val="20"/>
        </w:rPr>
        <w:lastRenderedPageBreak/>
        <w:t>Así lo acordamos, mandamos y firmamos.</w:t>
      </w:r>
    </w:p>
    <w:p w:rsidR="0048748C" w:rsidRDefault="0048748C"/>
    <w:sectPr w:rsidR="0048748C">
      <w:headerReference w:type="default" r:id="rId5"/>
      <w:footerReference w:type="default" r:id="rId6"/>
      <w:pgSz w:w="12240" w:h="15840"/>
      <w:pgMar w:top="1080" w:right="720" w:bottom="108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Ind w:w="0" w:type="dxa"/>
      <w:tblLook w:val="01E0" w:firstRow="1" w:lastRow="1" w:firstColumn="1" w:lastColumn="1" w:noHBand="0" w:noVBand="0"/>
    </w:tblPr>
    <w:tblGrid>
      <w:gridCol w:w="8748"/>
      <w:gridCol w:w="2192"/>
    </w:tblGrid>
    <w:tr w:rsidR="00000000">
      <w:tc>
        <w:tcPr>
          <w:tcW w:w="8748" w:type="dxa"/>
          <w:hideMark/>
        </w:tcPr>
        <w:p w:rsidR="00000000" w:rsidRDefault="00657D17">
          <w:pPr>
            <w:pStyle w:val="Piedepgina"/>
            <w:rPr>
              <w:color w:val="000000"/>
              <w:lang w:val="en-US"/>
            </w:rPr>
          </w:pPr>
          <w:r>
            <w:rPr>
              <w:color w:val="000000"/>
              <w:lang w:val="en-US"/>
            </w:rPr>
            <w:t>laleydigital.es</w:t>
          </w:r>
        </w:p>
      </w:tc>
      <w:tc>
        <w:tcPr>
          <w:tcW w:w="2192" w:type="dxa"/>
          <w:hideMark/>
        </w:tcPr>
        <w:p w:rsidR="00000000" w:rsidRDefault="00657D17">
          <w:pPr>
            <w:pStyle w:val="Piedepgina"/>
            <w:jc w:val="right"/>
            <w:rPr>
              <w:color w:val="000000"/>
              <w:lang w:val="en-US"/>
            </w:rPr>
          </w:pPr>
          <w:r>
            <w:rPr>
              <w:color w:val="000000"/>
              <w:lang w:val="en-US"/>
            </w:rPr>
            <w:fldChar w:fldCharType="begin"/>
          </w:r>
          <w:r>
            <w:rPr>
              <w:color w:val="000000"/>
              <w:lang w:val="en-US"/>
            </w:rPr>
            <w:instrText>DATE { DATE \@ "dd-MM-yyyy" }</w:instrText>
          </w:r>
          <w:r>
            <w:rPr>
              <w:color w:val="000000"/>
              <w:lang w:val="en-US"/>
            </w:rPr>
            <w:fldChar w:fldCharType="separate"/>
          </w:r>
          <w:r>
            <w:rPr>
              <w:noProof/>
              <w:color w:val="000000"/>
              <w:lang w:val="en-US"/>
            </w:rPr>
            <w:t>31-01-2012</w:t>
          </w:r>
          <w:r>
            <w:rPr>
              <w:color w:val="000000"/>
              <w:lang w:val="en-US"/>
            </w:rPr>
            <w:fldChar w:fldCharType="end"/>
          </w:r>
        </w:p>
      </w:tc>
    </w:tr>
  </w:tbl>
  <w:p w:rsidR="00000000" w:rsidRDefault="00657D17">
    <w:pPr>
      <w:pStyle w:val="Piedepgina"/>
      <w:rPr>
        <w:color w:val="000000"/>
        <w:lang w:val="en-US"/>
      </w:rPr>
    </w:pPr>
    <w:r>
      <w:rPr>
        <w:color w:val="000000"/>
        <w:lang w:val="en-US"/>
      </w:rPr>
      <w:tab/>
    </w:r>
    <w:r>
      <w:rPr>
        <w:color w:val="000000"/>
        <w:lang w:val="en-US"/>
      </w:rPr>
      <w:tab/>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Ind w:w="0" w:type="dxa"/>
      <w:tblLook w:val="01E0" w:firstRow="1" w:lastRow="1" w:firstColumn="1" w:lastColumn="1" w:noHBand="0" w:noVBand="0"/>
    </w:tblPr>
    <w:tblGrid>
      <w:gridCol w:w="8568"/>
      <w:gridCol w:w="2372"/>
    </w:tblGrid>
    <w:tr w:rsidR="00000000">
      <w:tc>
        <w:tcPr>
          <w:tcW w:w="8568" w:type="dxa"/>
          <w:hideMark/>
        </w:tcPr>
        <w:p w:rsidR="00000000" w:rsidRDefault="00657D17">
          <w:pPr>
            <w:pStyle w:val="Encabezado"/>
            <w:tabs>
              <w:tab w:val="clear" w:pos="4320"/>
              <w:tab w:val="left" w:pos="8820"/>
            </w:tabs>
            <w:jc w:val="both"/>
            <w:rPr>
              <w:color w:val="000000"/>
              <w:lang w:val="en-US"/>
            </w:rPr>
          </w:pPr>
          <w:r>
            <w:rPr>
              <w:noProof/>
              <w:color w:val="000000"/>
            </w:rPr>
            <w:drawing>
              <wp:inline distT="0" distB="0" distL="0" distR="0" wp14:anchorId="3DFA5640" wp14:editId="47CB9C82">
                <wp:extent cx="1762125" cy="666750"/>
                <wp:effectExtent l="0" t="0" r="9525" b="0"/>
                <wp:docPr id="1" name="Imagen 1" descr="logoW_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W_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666750"/>
                        </a:xfrm>
                        <a:prstGeom prst="rect">
                          <a:avLst/>
                        </a:prstGeom>
                        <a:noFill/>
                        <a:ln>
                          <a:noFill/>
                        </a:ln>
                      </pic:spPr>
                    </pic:pic>
                  </a:graphicData>
                </a:graphic>
              </wp:inline>
            </w:drawing>
          </w:r>
        </w:p>
      </w:tc>
      <w:tc>
        <w:tcPr>
          <w:tcW w:w="2372" w:type="dxa"/>
          <w:hideMark/>
        </w:tcPr>
        <w:p w:rsidR="00000000" w:rsidRDefault="00657D17">
          <w:pPr>
            <w:pStyle w:val="Encabezado"/>
            <w:tabs>
              <w:tab w:val="clear" w:pos="4320"/>
              <w:tab w:val="left" w:pos="8820"/>
            </w:tabs>
            <w:jc w:val="right"/>
            <w:rPr>
              <w:color w:val="000000"/>
              <w:lang w:val="en-US"/>
            </w:rPr>
          </w:pPr>
          <w:proofErr w:type="spellStart"/>
          <w:r>
            <w:rPr>
              <w:color w:val="000000"/>
              <w:lang w:val="en-US"/>
            </w:rPr>
            <w:t>Página</w:t>
          </w:r>
          <w:proofErr w:type="spellEnd"/>
          <w:r>
            <w:rPr>
              <w:color w:val="000000"/>
              <w:lang w:val="en-US"/>
            </w:rPr>
            <w:t xml:space="preserve"> </w:t>
          </w:r>
          <w:r>
            <w:rPr>
              <w:color w:val="000000"/>
              <w:lang w:val="en-US"/>
            </w:rPr>
            <w:fldChar w:fldCharType="begin"/>
          </w:r>
          <w:r>
            <w:rPr>
              <w:color w:val="000000"/>
              <w:lang w:val="en-US"/>
            </w:rPr>
            <w:instrText>PAGE</w:instrText>
          </w:r>
          <w:r>
            <w:rPr>
              <w:color w:val="000000"/>
              <w:lang w:val="en-US"/>
            </w:rPr>
            <w:fldChar w:fldCharType="separate"/>
          </w:r>
          <w:r>
            <w:rPr>
              <w:noProof/>
              <w:color w:val="000000"/>
              <w:lang w:val="en-US"/>
            </w:rPr>
            <w:t>1</w:t>
          </w:r>
          <w:r>
            <w:rPr>
              <w:color w:val="000000"/>
              <w:lang w:val="en-US"/>
            </w:rPr>
            <w:fldChar w:fldCharType="end"/>
          </w:r>
          <w:r>
            <w:rPr>
              <w:color w:val="000000"/>
              <w:lang w:val="en-US"/>
            </w:rPr>
            <w:t xml:space="preserve"> de </w:t>
          </w:r>
          <w:r>
            <w:rPr>
              <w:color w:val="000000"/>
              <w:lang w:val="en-US"/>
            </w:rPr>
            <w:fldChar w:fldCharType="begin"/>
          </w:r>
          <w:r>
            <w:rPr>
              <w:color w:val="000000"/>
              <w:lang w:val="en-US"/>
            </w:rPr>
            <w:instrText>NUMPAGES</w:instrText>
          </w:r>
          <w:r>
            <w:rPr>
              <w:color w:val="000000"/>
              <w:lang w:val="en-US"/>
            </w:rPr>
            <w:fldChar w:fldCharType="separate"/>
          </w:r>
          <w:r>
            <w:rPr>
              <w:noProof/>
              <w:color w:val="000000"/>
              <w:lang w:val="en-US"/>
            </w:rPr>
            <w:t>7</w:t>
          </w:r>
          <w:r>
            <w:rPr>
              <w:color w:val="000000"/>
              <w:lang w:val="en-US"/>
            </w:rPr>
            <w:fldChar w:fldCharType="end"/>
          </w:r>
        </w:p>
      </w:tc>
    </w:tr>
  </w:tbl>
  <w:p w:rsidR="00000000" w:rsidRDefault="00657D17">
    <w:pPr>
      <w:pStyle w:val="Encabezado"/>
      <w:tabs>
        <w:tab w:val="clear" w:pos="4320"/>
        <w:tab w:val="left" w:pos="8820"/>
      </w:tabs>
      <w:jc w:val="both"/>
      <w:rPr>
        <w:color w:val="000000"/>
        <w:lang w:val="en-US"/>
      </w:rPr>
    </w:pPr>
    <w:r>
      <w:rPr>
        <w:color w:val="000000"/>
        <w:lang w:val="en-US"/>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D17"/>
    <w:rsid w:val="0048748C"/>
    <w:rsid w:val="00657D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D17"/>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57D17"/>
    <w:pPr>
      <w:tabs>
        <w:tab w:val="center" w:pos="4320"/>
        <w:tab w:val="right" w:pos="10800"/>
      </w:tabs>
    </w:pPr>
    <w:rPr>
      <w:rFonts w:ascii="Arial" w:hAnsi="Arial" w:cs="Arial"/>
    </w:rPr>
  </w:style>
  <w:style w:type="character" w:customStyle="1" w:styleId="EncabezadoCar">
    <w:name w:val="Encabezado Car"/>
    <w:basedOn w:val="Fuentedeprrafopredeter"/>
    <w:link w:val="Encabezado"/>
    <w:rsid w:val="00657D17"/>
    <w:rPr>
      <w:rFonts w:ascii="Arial" w:eastAsia="Times New Roman" w:hAnsi="Arial" w:cs="Arial"/>
      <w:sz w:val="24"/>
      <w:szCs w:val="24"/>
      <w:lang w:eastAsia="es-ES"/>
    </w:rPr>
  </w:style>
  <w:style w:type="paragraph" w:styleId="Piedepgina">
    <w:name w:val="footer"/>
    <w:basedOn w:val="Normal"/>
    <w:link w:val="PiedepginaCar"/>
    <w:rsid w:val="00657D17"/>
    <w:pPr>
      <w:tabs>
        <w:tab w:val="center" w:pos="4320"/>
        <w:tab w:val="right" w:pos="10800"/>
      </w:tabs>
    </w:pPr>
    <w:rPr>
      <w:rFonts w:ascii="Arial" w:hAnsi="Arial" w:cs="Arial"/>
    </w:rPr>
  </w:style>
  <w:style w:type="character" w:customStyle="1" w:styleId="PiedepginaCar">
    <w:name w:val="Pie de página Car"/>
    <w:basedOn w:val="Fuentedeprrafopredeter"/>
    <w:link w:val="Piedepgina"/>
    <w:rsid w:val="00657D17"/>
    <w:rPr>
      <w:rFonts w:ascii="Arial" w:eastAsia="Times New Roman" w:hAnsi="Arial" w:cs="Arial"/>
      <w:sz w:val="24"/>
      <w:szCs w:val="24"/>
      <w:lang w:eastAsia="es-ES"/>
    </w:rPr>
  </w:style>
  <w:style w:type="paragraph" w:styleId="NormalWeb">
    <w:name w:val="Normal (Web)"/>
    <w:basedOn w:val="Normal"/>
    <w:rsid w:val="00657D17"/>
    <w:pPr>
      <w:spacing w:before="100" w:beforeAutospacing="1" w:after="100" w:afterAutospacing="1"/>
    </w:pPr>
    <w:rPr>
      <w:rFonts w:eastAsiaTheme="minorEastAsia"/>
    </w:rPr>
  </w:style>
  <w:style w:type="table" w:styleId="Tablaconcuadrcula">
    <w:name w:val="Table Grid"/>
    <w:basedOn w:val="Tablanormal"/>
    <w:rsid w:val="00657D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pte1">
    <w:name w:val="jpte1"/>
    <w:basedOn w:val="Normal"/>
    <w:rsid w:val="00657D17"/>
    <w:pPr>
      <w:spacing w:before="150" w:after="100" w:afterAutospacing="1"/>
    </w:pPr>
    <w:rPr>
      <w:rFonts w:eastAsiaTheme="minorEastAsia"/>
      <w:color w:val="00255C"/>
    </w:rPr>
  </w:style>
  <w:style w:type="character" w:customStyle="1" w:styleId="su1">
    <w:name w:val="su1"/>
    <w:basedOn w:val="Fuentedeprrafopredeter"/>
    <w:rsid w:val="00657D17"/>
    <w:rPr>
      <w:u w:val="single"/>
    </w:rPr>
  </w:style>
  <w:style w:type="paragraph" w:customStyle="1" w:styleId="cn3">
    <w:name w:val="cn3"/>
    <w:basedOn w:val="Normal"/>
    <w:rsid w:val="00657D17"/>
    <w:pPr>
      <w:spacing w:before="120" w:after="120"/>
      <w:ind w:left="120" w:right="120"/>
      <w:jc w:val="center"/>
    </w:pPr>
    <w:rPr>
      <w:rFonts w:eastAsiaTheme="minorEastAsia"/>
      <w:b/>
      <w:bCs/>
      <w:color w:val="00255C"/>
    </w:rPr>
  </w:style>
  <w:style w:type="paragraph" w:styleId="Textodeglobo">
    <w:name w:val="Balloon Text"/>
    <w:basedOn w:val="Normal"/>
    <w:link w:val="TextodegloboCar"/>
    <w:uiPriority w:val="99"/>
    <w:semiHidden/>
    <w:unhideWhenUsed/>
    <w:rsid w:val="00657D17"/>
    <w:rPr>
      <w:rFonts w:ascii="Tahoma" w:hAnsi="Tahoma" w:cs="Tahoma"/>
      <w:sz w:val="16"/>
      <w:szCs w:val="16"/>
    </w:rPr>
  </w:style>
  <w:style w:type="character" w:customStyle="1" w:styleId="TextodegloboCar">
    <w:name w:val="Texto de globo Car"/>
    <w:basedOn w:val="Fuentedeprrafopredeter"/>
    <w:link w:val="Textodeglobo"/>
    <w:uiPriority w:val="99"/>
    <w:semiHidden/>
    <w:rsid w:val="00657D17"/>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D17"/>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57D17"/>
    <w:pPr>
      <w:tabs>
        <w:tab w:val="center" w:pos="4320"/>
        <w:tab w:val="right" w:pos="10800"/>
      </w:tabs>
    </w:pPr>
    <w:rPr>
      <w:rFonts w:ascii="Arial" w:hAnsi="Arial" w:cs="Arial"/>
    </w:rPr>
  </w:style>
  <w:style w:type="character" w:customStyle="1" w:styleId="EncabezadoCar">
    <w:name w:val="Encabezado Car"/>
    <w:basedOn w:val="Fuentedeprrafopredeter"/>
    <w:link w:val="Encabezado"/>
    <w:rsid w:val="00657D17"/>
    <w:rPr>
      <w:rFonts w:ascii="Arial" w:eastAsia="Times New Roman" w:hAnsi="Arial" w:cs="Arial"/>
      <w:sz w:val="24"/>
      <w:szCs w:val="24"/>
      <w:lang w:eastAsia="es-ES"/>
    </w:rPr>
  </w:style>
  <w:style w:type="paragraph" w:styleId="Piedepgina">
    <w:name w:val="footer"/>
    <w:basedOn w:val="Normal"/>
    <w:link w:val="PiedepginaCar"/>
    <w:rsid w:val="00657D17"/>
    <w:pPr>
      <w:tabs>
        <w:tab w:val="center" w:pos="4320"/>
        <w:tab w:val="right" w:pos="10800"/>
      </w:tabs>
    </w:pPr>
    <w:rPr>
      <w:rFonts w:ascii="Arial" w:hAnsi="Arial" w:cs="Arial"/>
    </w:rPr>
  </w:style>
  <w:style w:type="character" w:customStyle="1" w:styleId="PiedepginaCar">
    <w:name w:val="Pie de página Car"/>
    <w:basedOn w:val="Fuentedeprrafopredeter"/>
    <w:link w:val="Piedepgina"/>
    <w:rsid w:val="00657D17"/>
    <w:rPr>
      <w:rFonts w:ascii="Arial" w:eastAsia="Times New Roman" w:hAnsi="Arial" w:cs="Arial"/>
      <w:sz w:val="24"/>
      <w:szCs w:val="24"/>
      <w:lang w:eastAsia="es-ES"/>
    </w:rPr>
  </w:style>
  <w:style w:type="paragraph" w:styleId="NormalWeb">
    <w:name w:val="Normal (Web)"/>
    <w:basedOn w:val="Normal"/>
    <w:rsid w:val="00657D17"/>
    <w:pPr>
      <w:spacing w:before="100" w:beforeAutospacing="1" w:after="100" w:afterAutospacing="1"/>
    </w:pPr>
    <w:rPr>
      <w:rFonts w:eastAsiaTheme="minorEastAsia"/>
    </w:rPr>
  </w:style>
  <w:style w:type="table" w:styleId="Tablaconcuadrcula">
    <w:name w:val="Table Grid"/>
    <w:basedOn w:val="Tablanormal"/>
    <w:rsid w:val="00657D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pte1">
    <w:name w:val="jpte1"/>
    <w:basedOn w:val="Normal"/>
    <w:rsid w:val="00657D17"/>
    <w:pPr>
      <w:spacing w:before="150" w:after="100" w:afterAutospacing="1"/>
    </w:pPr>
    <w:rPr>
      <w:rFonts w:eastAsiaTheme="minorEastAsia"/>
      <w:color w:val="00255C"/>
    </w:rPr>
  </w:style>
  <w:style w:type="character" w:customStyle="1" w:styleId="su1">
    <w:name w:val="su1"/>
    <w:basedOn w:val="Fuentedeprrafopredeter"/>
    <w:rsid w:val="00657D17"/>
    <w:rPr>
      <w:u w:val="single"/>
    </w:rPr>
  </w:style>
  <w:style w:type="paragraph" w:customStyle="1" w:styleId="cn3">
    <w:name w:val="cn3"/>
    <w:basedOn w:val="Normal"/>
    <w:rsid w:val="00657D17"/>
    <w:pPr>
      <w:spacing w:before="120" w:after="120"/>
      <w:ind w:left="120" w:right="120"/>
      <w:jc w:val="center"/>
    </w:pPr>
    <w:rPr>
      <w:rFonts w:eastAsiaTheme="minorEastAsia"/>
      <w:b/>
      <w:bCs/>
      <w:color w:val="00255C"/>
    </w:rPr>
  </w:style>
  <w:style w:type="paragraph" w:styleId="Textodeglobo">
    <w:name w:val="Balloon Text"/>
    <w:basedOn w:val="Normal"/>
    <w:link w:val="TextodegloboCar"/>
    <w:uiPriority w:val="99"/>
    <w:semiHidden/>
    <w:unhideWhenUsed/>
    <w:rsid w:val="00657D17"/>
    <w:rPr>
      <w:rFonts w:ascii="Tahoma" w:hAnsi="Tahoma" w:cs="Tahoma"/>
      <w:sz w:val="16"/>
      <w:szCs w:val="16"/>
    </w:rPr>
  </w:style>
  <w:style w:type="character" w:customStyle="1" w:styleId="TextodegloboCar">
    <w:name w:val="Texto de globo Car"/>
    <w:basedOn w:val="Fuentedeprrafopredeter"/>
    <w:link w:val="Textodeglobo"/>
    <w:uiPriority w:val="99"/>
    <w:semiHidden/>
    <w:rsid w:val="00657D17"/>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2386</Words>
  <Characters>13129</Characters>
  <Application>Microsoft Office Word</Application>
  <DocSecurity>0</DocSecurity>
  <Lines>109</Lines>
  <Paragraphs>30</Paragraphs>
  <ScaleCrop>false</ScaleCrop>
  <Company>CEA</Company>
  <LinksUpToDate>false</LinksUpToDate>
  <CharactersWithSpaces>15485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Gessa Sorroche, Lola</dc:creator>
  <cp:keywords/>
  <dc:description/>
  <cp:lastModifiedBy>Gessa Sorroche, Lola</cp:lastModifiedBy>
  <cp:revision>1</cp:revision>
  <dcterms:created xsi:type="dcterms:W3CDTF">2012-01-31T12:51:00Z</dcterms:created>
  <dcterms:modified xsi:type="dcterms:W3CDTF">2012-01-31T12:52:00Z</dcterms:modified>
</cp:coreProperties>
</file>